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EAD" w:rsidRPr="006F5B53" w:rsidRDefault="00B44EAD" w:rsidP="00B44EAD">
      <w:pPr>
        <w:pStyle w:val="ac"/>
        <w:ind w:firstLineChars="0" w:firstLine="0"/>
        <w:jc w:val="center"/>
        <w:rPr>
          <w:rFonts w:asciiTheme="majorEastAsia" w:eastAsiaTheme="majorEastAsia" w:hAnsiTheme="majorEastAsia"/>
          <w:sz w:val="40"/>
          <w:szCs w:val="40"/>
        </w:rPr>
      </w:pPr>
      <w:r w:rsidRPr="006F5B53">
        <w:rPr>
          <w:rFonts w:asciiTheme="majorEastAsia" w:eastAsiaTheme="majorEastAsia" w:hAnsiTheme="majorEastAsia" w:hint="eastAsia"/>
          <w:sz w:val="40"/>
          <w:szCs w:val="40"/>
        </w:rPr>
        <w:t>研究</w:t>
      </w:r>
      <w:r>
        <w:rPr>
          <w:rFonts w:asciiTheme="majorEastAsia" w:eastAsiaTheme="majorEastAsia" w:hAnsiTheme="majorEastAsia" w:hint="eastAsia"/>
          <w:sz w:val="40"/>
          <w:szCs w:val="40"/>
        </w:rPr>
        <w:t>解説</w:t>
      </w:r>
      <w:r w:rsidRPr="006F5B53">
        <w:rPr>
          <w:rFonts w:asciiTheme="majorEastAsia" w:eastAsiaTheme="majorEastAsia" w:hAnsiTheme="majorEastAsia" w:hint="eastAsia"/>
          <w:sz w:val="40"/>
          <w:szCs w:val="40"/>
        </w:rPr>
        <w:t>書</w:t>
      </w:r>
    </w:p>
    <w:p w:rsidR="00B44EAD" w:rsidRPr="006F5B53" w:rsidRDefault="00B44EAD" w:rsidP="00B44EAD">
      <w:pPr>
        <w:pStyle w:val="ac"/>
        <w:ind w:firstLineChars="0" w:firstLine="0"/>
        <w:jc w:val="center"/>
        <w:rPr>
          <w:rFonts w:asciiTheme="majorEastAsia" w:eastAsiaTheme="majorEastAsia" w:hAnsiTheme="majorEastAsia"/>
          <w:sz w:val="28"/>
          <w:szCs w:val="28"/>
        </w:rPr>
      </w:pPr>
      <w:r w:rsidRPr="006F5B53">
        <w:rPr>
          <w:rFonts w:asciiTheme="majorEastAsia" w:eastAsiaTheme="majorEastAsia" w:hAnsiTheme="majorEastAsia" w:hint="eastAsia"/>
          <w:sz w:val="28"/>
          <w:szCs w:val="28"/>
        </w:rPr>
        <w:t>「加算的色変換画像における色の恒常性」北岡 明佳</w:t>
      </w:r>
    </w:p>
    <w:p w:rsidR="00333007" w:rsidRPr="00B44EAD" w:rsidRDefault="00333007" w:rsidP="006F5B53">
      <w:pPr>
        <w:pStyle w:val="ac"/>
        <w:snapToGrid w:val="0"/>
        <w:spacing w:after="120" w:line="360" w:lineRule="auto"/>
        <w:ind w:firstLineChars="0" w:firstLine="0"/>
        <w:jc w:val="center"/>
      </w:pPr>
    </w:p>
    <w:p w:rsidR="00B44EAD" w:rsidRPr="00FF0A80" w:rsidRDefault="00B44EAD" w:rsidP="00B44EAD">
      <w:pPr>
        <w:pStyle w:val="ac"/>
        <w:snapToGrid w:val="0"/>
        <w:spacing w:after="120" w:line="300" w:lineRule="auto"/>
        <w:ind w:firstLine="220"/>
        <w:rPr>
          <w:sz w:val="22"/>
        </w:rPr>
      </w:pPr>
      <w:r w:rsidRPr="00FF0A80">
        <w:rPr>
          <w:rFonts w:hint="eastAsia"/>
          <w:sz w:val="22"/>
        </w:rPr>
        <w:t>対象の色は、照明やフィルターの色みが変化しても、ある程度一定に見える。これを</w:t>
      </w:r>
      <w:r w:rsidRPr="00FF0A80">
        <w:rPr>
          <w:rFonts w:hint="eastAsia"/>
          <w:sz w:val="22"/>
          <w:u w:val="single"/>
        </w:rPr>
        <w:t>色の恒常性</w:t>
      </w:r>
      <w:r w:rsidRPr="00FF0A80">
        <w:rPr>
          <w:rFonts w:hint="eastAsia"/>
          <w:sz w:val="22"/>
        </w:rPr>
        <w:t>（</w:t>
      </w:r>
      <w:r w:rsidRPr="00FF0A80">
        <w:rPr>
          <w:rFonts w:hint="eastAsia"/>
          <w:sz w:val="22"/>
        </w:rPr>
        <w:t>color constancy</w:t>
      </w:r>
      <w:r w:rsidRPr="00FF0A80">
        <w:rPr>
          <w:rFonts w:hint="eastAsia"/>
          <w:sz w:val="22"/>
        </w:rPr>
        <w:t>）という。知覚心理学や視覚工学においては、色の恒常性が成立する色変換としては乗算的色変換が研究されてきたが、グラフィックス（色彩のデザイン）の世界では加算的色変換</w:t>
      </w:r>
      <w:r w:rsidR="00AF66A8" w:rsidRPr="00FF0A80">
        <w:rPr>
          <w:rFonts w:hint="eastAsia"/>
          <w:sz w:val="22"/>
        </w:rPr>
        <w:t>（アルファブレンディング）</w:t>
      </w:r>
      <w:r w:rsidRPr="00FF0A80">
        <w:rPr>
          <w:rFonts w:hint="eastAsia"/>
          <w:sz w:val="22"/>
        </w:rPr>
        <w:t>の方が主力である。</w:t>
      </w:r>
    </w:p>
    <w:p w:rsidR="00B44EAD" w:rsidRPr="00FF0A80" w:rsidRDefault="00B44EAD" w:rsidP="00B44EAD">
      <w:pPr>
        <w:pStyle w:val="ac"/>
        <w:snapToGrid w:val="0"/>
        <w:spacing w:after="120" w:line="300" w:lineRule="auto"/>
        <w:ind w:firstLine="220"/>
        <w:rPr>
          <w:sz w:val="22"/>
        </w:rPr>
      </w:pPr>
      <w:r w:rsidRPr="00FF0A80">
        <w:rPr>
          <w:rFonts w:hint="eastAsia"/>
          <w:sz w:val="22"/>
        </w:rPr>
        <w:t>本研究では、加算的色変換画像（イチゴの色の錯視）の色の恒常性の限界（</w:t>
      </w:r>
      <w:r w:rsidRPr="00FF0A80">
        <w:rPr>
          <w:rFonts w:hint="eastAsia"/>
          <w:sz w:val="22"/>
          <w:u w:val="single"/>
        </w:rPr>
        <w:t>閾値</w:t>
      </w:r>
      <w:r w:rsidRPr="00FF0A80">
        <w:rPr>
          <w:rFonts w:hint="eastAsia"/>
          <w:sz w:val="22"/>
        </w:rPr>
        <w:t>）の測定を行なうことで、加算的色変換が示す強力な色の恒常性を</w:t>
      </w:r>
      <w:r w:rsidRPr="00FF0A80">
        <w:rPr>
          <w:rFonts w:hint="eastAsia"/>
          <w:sz w:val="22"/>
          <w:u w:val="single"/>
        </w:rPr>
        <w:t>定量的</w:t>
      </w:r>
      <w:r w:rsidRPr="00FF0A80">
        <w:rPr>
          <w:rFonts w:hint="eastAsia"/>
          <w:sz w:val="22"/>
        </w:rPr>
        <w:t>に明らかにすることを目的とする。具体的には、ブレンドする反対色の割合を増していって、イチゴの色が感じられなくなるポイント（閾値）を</w:t>
      </w:r>
      <w:r w:rsidR="00B56FA7">
        <w:rPr>
          <w:rFonts w:hint="eastAsia"/>
          <w:sz w:val="22"/>
          <w:u w:val="single"/>
        </w:rPr>
        <w:t>恒常法</w:t>
      </w:r>
      <w:r w:rsidRPr="00FF0A80">
        <w:rPr>
          <w:rFonts w:hint="eastAsia"/>
          <w:sz w:val="22"/>
        </w:rPr>
        <w:t>（</w:t>
      </w:r>
      <w:r w:rsidRPr="00FF0A80">
        <w:rPr>
          <w:rFonts w:hint="eastAsia"/>
          <w:sz w:val="22"/>
        </w:rPr>
        <w:t xml:space="preserve">method of </w:t>
      </w:r>
      <w:r w:rsidR="00B56FA7">
        <w:rPr>
          <w:sz w:val="22"/>
        </w:rPr>
        <w:t>constant stimuli</w:t>
      </w:r>
      <w:r w:rsidRPr="00FF0A80">
        <w:rPr>
          <w:rFonts w:hint="eastAsia"/>
          <w:sz w:val="22"/>
        </w:rPr>
        <w:t>）で測定する。</w:t>
      </w:r>
    </w:p>
    <w:p w:rsidR="00B44EAD" w:rsidRPr="00FF0A80" w:rsidRDefault="00B44EAD" w:rsidP="00B44EAD">
      <w:pPr>
        <w:pStyle w:val="ac"/>
        <w:snapToGrid w:val="0"/>
        <w:spacing w:after="120" w:line="300" w:lineRule="auto"/>
        <w:ind w:firstLine="220"/>
        <w:rPr>
          <w:sz w:val="22"/>
        </w:rPr>
      </w:pPr>
      <w:r w:rsidRPr="00FF0A80">
        <w:rPr>
          <w:rFonts w:hint="eastAsia"/>
          <w:sz w:val="22"/>
        </w:rPr>
        <w:t>加算的色変換</w:t>
      </w:r>
      <w:bookmarkStart w:id="0" w:name="_GoBack"/>
      <w:bookmarkEnd w:id="0"/>
      <w:r w:rsidRPr="00FF0A80">
        <w:rPr>
          <w:rFonts w:hint="eastAsia"/>
          <w:sz w:val="22"/>
        </w:rPr>
        <w:t>とは、</w:t>
      </w:r>
      <w:r w:rsidRPr="00FF0A80">
        <w:rPr>
          <w:rFonts w:hint="eastAsia"/>
          <w:sz w:val="22"/>
        </w:rPr>
        <w:t>2</w:t>
      </w:r>
      <w:r w:rsidRPr="00FF0A80">
        <w:rPr>
          <w:rFonts w:hint="eastAsia"/>
          <w:sz w:val="22"/>
        </w:rPr>
        <w:t>つの画像を重み付け平均する画像合成法である。下図は、イチゴの画像と</w:t>
      </w:r>
      <w:r w:rsidR="00B62D7A" w:rsidRPr="00FF0A80">
        <w:rPr>
          <w:rFonts w:hint="eastAsia"/>
          <w:sz w:val="22"/>
        </w:rPr>
        <w:t>一様な</w:t>
      </w:r>
      <w:r w:rsidRPr="00FF0A80">
        <w:rPr>
          <w:rFonts w:hint="eastAsia"/>
          <w:sz w:val="22"/>
        </w:rPr>
        <w:t>シアン色（赤の反対色）の画像の合成である</w:t>
      </w:r>
      <w:r w:rsidR="00AF66A8" w:rsidRPr="00FF0A80">
        <w:rPr>
          <w:rFonts w:hint="eastAsia"/>
          <w:sz w:val="22"/>
        </w:rPr>
        <w:t>。</w:t>
      </w:r>
      <w:r w:rsidRPr="00FF0A80">
        <w:rPr>
          <w:rFonts w:hint="eastAsia"/>
          <w:sz w:val="22"/>
        </w:rPr>
        <w:t>左下の</w:t>
      </w:r>
      <w:r w:rsidR="00AF66A8" w:rsidRPr="00FF0A80">
        <w:rPr>
          <w:rFonts w:hint="eastAsia"/>
          <w:sz w:val="22"/>
        </w:rPr>
        <w:t>50</w:t>
      </w:r>
      <w:r w:rsidR="00AF66A8" w:rsidRPr="00FF0A80">
        <w:rPr>
          <w:sz w:val="22"/>
        </w:rPr>
        <w:t>%</w:t>
      </w:r>
      <w:r w:rsidR="00AF66A8" w:rsidRPr="00FF0A80">
        <w:rPr>
          <w:rFonts w:hint="eastAsia"/>
          <w:sz w:val="22"/>
        </w:rPr>
        <w:t>ずつの</w:t>
      </w:r>
      <w:r w:rsidRPr="00FF0A80">
        <w:rPr>
          <w:rFonts w:hint="eastAsia"/>
          <w:sz w:val="22"/>
        </w:rPr>
        <w:t>合成でもイチゴの画像の画素</w:t>
      </w:r>
      <w:r w:rsidR="00B62D7A" w:rsidRPr="00FF0A80">
        <w:rPr>
          <w:rFonts w:hint="eastAsia"/>
          <w:sz w:val="22"/>
        </w:rPr>
        <w:t>に</w:t>
      </w:r>
      <w:r w:rsidRPr="00FF0A80">
        <w:rPr>
          <w:rFonts w:hint="eastAsia"/>
          <w:sz w:val="22"/>
        </w:rPr>
        <w:t>赤</w:t>
      </w:r>
      <w:r w:rsidR="00B62D7A" w:rsidRPr="00FF0A80">
        <w:rPr>
          <w:rFonts w:hint="eastAsia"/>
          <w:sz w:val="22"/>
        </w:rPr>
        <w:t>いものはない</w:t>
      </w:r>
      <w:r w:rsidRPr="00FF0A80">
        <w:rPr>
          <w:rFonts w:hint="eastAsia"/>
          <w:sz w:val="22"/>
        </w:rPr>
        <w:t>のであるが、</w:t>
      </w:r>
      <w:r w:rsidR="00B62D7A" w:rsidRPr="00FF0A80">
        <w:rPr>
          <w:rFonts w:hint="eastAsia"/>
          <w:sz w:val="22"/>
        </w:rPr>
        <w:t>イチゴは</w:t>
      </w:r>
      <w:r w:rsidRPr="00FF0A80">
        <w:rPr>
          <w:rFonts w:hint="eastAsia"/>
          <w:sz w:val="22"/>
        </w:rPr>
        <w:t>赤く見える</w:t>
      </w:r>
      <w:r w:rsidR="00B62D7A" w:rsidRPr="00FF0A80">
        <w:rPr>
          <w:rFonts w:hint="eastAsia"/>
          <w:sz w:val="22"/>
        </w:rPr>
        <w:t>だろう</w:t>
      </w:r>
      <w:r w:rsidRPr="00FF0A80">
        <w:rPr>
          <w:rFonts w:hint="eastAsia"/>
          <w:sz w:val="22"/>
        </w:rPr>
        <w:t>。</w:t>
      </w:r>
      <w:r w:rsidR="007D089A" w:rsidRPr="00FF0A80">
        <w:rPr>
          <w:rFonts w:hint="eastAsia"/>
          <w:sz w:val="22"/>
        </w:rPr>
        <w:t>シアン色を</w:t>
      </w:r>
      <w:r w:rsidR="000A4D26" w:rsidRPr="00FF0A80">
        <w:rPr>
          <w:rFonts w:hint="eastAsia"/>
          <w:sz w:val="22"/>
        </w:rPr>
        <w:t>深めて</w:t>
      </w:r>
      <w:r w:rsidR="007D089A">
        <w:rPr>
          <w:rFonts w:hint="eastAsia"/>
          <w:sz w:val="22"/>
        </w:rPr>
        <w:t>いくと、いずれは</w:t>
      </w:r>
      <w:r w:rsidR="000A4D26" w:rsidRPr="00FF0A80">
        <w:rPr>
          <w:rFonts w:hint="eastAsia"/>
          <w:sz w:val="22"/>
        </w:rPr>
        <w:t>イチゴは赤く見え</w:t>
      </w:r>
      <w:r w:rsidR="007D089A">
        <w:rPr>
          <w:rFonts w:hint="eastAsia"/>
          <w:sz w:val="22"/>
        </w:rPr>
        <w:t>なくなるだろう。</w:t>
      </w:r>
      <w:r w:rsidRPr="00FF0A80">
        <w:rPr>
          <w:rFonts w:hint="eastAsia"/>
          <w:sz w:val="22"/>
        </w:rPr>
        <w:t>その限界を調べようという研究である。</w:t>
      </w:r>
      <w:r w:rsidR="00B62D7A" w:rsidRPr="00FF0A80">
        <w:rPr>
          <w:rFonts w:hint="eastAsia"/>
          <w:sz w:val="22"/>
        </w:rPr>
        <w:t>もし左上の図ではイチゴは赤く見えず、右上の図では赤く見えるのならば、閾値は</w:t>
      </w:r>
      <w:r w:rsidR="000A4D26" w:rsidRPr="00FF0A80">
        <w:rPr>
          <w:rFonts w:hint="eastAsia"/>
          <w:sz w:val="22"/>
        </w:rPr>
        <w:t>両者の中間の</w:t>
      </w:r>
      <w:r w:rsidR="00B62D7A" w:rsidRPr="00FF0A80">
        <w:rPr>
          <w:rFonts w:hint="eastAsia"/>
          <w:sz w:val="22"/>
        </w:rPr>
        <w:t xml:space="preserve"> </w:t>
      </w:r>
      <w:r w:rsidR="00B62D7A" w:rsidRPr="00FF0A80">
        <w:rPr>
          <w:rFonts w:hint="eastAsia"/>
          <w:sz w:val="22"/>
        </w:rPr>
        <w:t>α</w:t>
      </w:r>
      <w:r w:rsidR="00B62D7A" w:rsidRPr="00FF0A80">
        <w:rPr>
          <w:rFonts w:hint="eastAsia"/>
          <w:sz w:val="22"/>
        </w:rPr>
        <w:t xml:space="preserve"> =</w:t>
      </w:r>
      <w:r w:rsidR="00B62D7A" w:rsidRPr="00FF0A80">
        <w:rPr>
          <w:sz w:val="22"/>
        </w:rPr>
        <w:t xml:space="preserve"> </w:t>
      </w:r>
      <w:r w:rsidR="00B62D7A" w:rsidRPr="00FF0A80">
        <w:rPr>
          <w:rFonts w:hint="eastAsia"/>
          <w:sz w:val="22"/>
        </w:rPr>
        <w:t>35</w:t>
      </w:r>
      <w:r w:rsidR="00B62D7A" w:rsidRPr="00FF0A80">
        <w:rPr>
          <w:sz w:val="22"/>
        </w:rPr>
        <w:t xml:space="preserve">% </w:t>
      </w:r>
      <w:r w:rsidR="00B62D7A" w:rsidRPr="00FF0A80">
        <w:rPr>
          <w:rFonts w:hint="eastAsia"/>
          <w:sz w:val="22"/>
        </w:rPr>
        <w:t>（イチゴの画像の貢献度</w:t>
      </w:r>
      <w:r w:rsidR="00AF66A8" w:rsidRPr="00FF0A80">
        <w:rPr>
          <w:rFonts w:hint="eastAsia"/>
          <w:sz w:val="22"/>
        </w:rPr>
        <w:t>が</w:t>
      </w:r>
      <w:r w:rsidR="00B62D7A" w:rsidRPr="00FF0A80">
        <w:rPr>
          <w:rFonts w:hint="eastAsia"/>
          <w:sz w:val="22"/>
        </w:rPr>
        <w:t>35</w:t>
      </w:r>
      <w:r w:rsidR="00B62D7A" w:rsidRPr="00FF0A80">
        <w:rPr>
          <w:sz w:val="22"/>
        </w:rPr>
        <w:t>%</w:t>
      </w:r>
      <w:r w:rsidR="00AF66A8" w:rsidRPr="00FF0A80">
        <w:rPr>
          <w:rFonts w:hint="eastAsia"/>
          <w:sz w:val="22"/>
        </w:rPr>
        <w:t>より大きいところで色の恒常性は成立する</w:t>
      </w:r>
      <w:r w:rsidR="00B62D7A" w:rsidRPr="00FF0A80">
        <w:rPr>
          <w:rFonts w:hint="eastAsia"/>
          <w:sz w:val="22"/>
        </w:rPr>
        <w:t>）ということに</w:t>
      </w:r>
      <w:r w:rsidR="000A4D26" w:rsidRPr="00FF0A80">
        <w:rPr>
          <w:rFonts w:hint="eastAsia"/>
          <w:sz w:val="22"/>
        </w:rPr>
        <w:t>なる</w:t>
      </w:r>
      <w:r w:rsidR="00B62D7A" w:rsidRPr="00FF0A80">
        <w:rPr>
          <w:rFonts w:hint="eastAsia"/>
          <w:sz w:val="22"/>
        </w:rPr>
        <w:t>。</w:t>
      </w:r>
    </w:p>
    <w:p w:rsidR="00333007" w:rsidRDefault="00B44EAD" w:rsidP="006F5B53">
      <w:pPr>
        <w:pStyle w:val="ac"/>
        <w:snapToGrid w:val="0"/>
        <w:spacing w:after="120" w:line="360" w:lineRule="auto"/>
        <w:ind w:firstLineChars="0" w:firstLine="0"/>
        <w:jc w:val="center"/>
      </w:pPr>
      <w:r>
        <w:rPr>
          <w:noProof/>
        </w:rPr>
        <w:drawing>
          <wp:inline distT="0" distB="0" distL="0" distR="0">
            <wp:extent cx="5343525" cy="5218843"/>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higo-IMG_20160227_220021ps-strong-AC30_40_50_60-gamma1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52037" cy="5227157"/>
                    </a:xfrm>
                    <a:prstGeom prst="rect">
                      <a:avLst/>
                    </a:prstGeom>
                  </pic:spPr>
                </pic:pic>
              </a:graphicData>
            </a:graphic>
          </wp:inline>
        </w:drawing>
      </w:r>
    </w:p>
    <w:sectPr w:rsidR="00333007" w:rsidSect="004F5402">
      <w:headerReference w:type="default" r:id="rId9"/>
      <w:type w:val="continuous"/>
      <w:pgSz w:w="11906" w:h="16838" w:code="9"/>
      <w:pgMar w:top="567" w:right="851" w:bottom="567" w:left="851" w:header="567" w:footer="340" w:gutter="0"/>
      <w:cols w:space="425"/>
      <w:docGrid w:type="lines" w:linePitch="29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500" w:rsidRDefault="003A1500" w:rsidP="0024162A">
      <w:r>
        <w:separator/>
      </w:r>
    </w:p>
  </w:endnote>
  <w:endnote w:type="continuationSeparator" w:id="0">
    <w:p w:rsidR="003A1500" w:rsidRDefault="003A1500" w:rsidP="002416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500" w:rsidRDefault="003A1500" w:rsidP="0024162A">
      <w:r>
        <w:separator/>
      </w:r>
    </w:p>
  </w:footnote>
  <w:footnote w:type="continuationSeparator" w:id="0">
    <w:p w:rsidR="003A1500" w:rsidRDefault="003A1500" w:rsidP="002416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162A" w:rsidRPr="0024162A" w:rsidRDefault="0024162A" w:rsidP="0024162A">
    <w:pPr>
      <w:pStyle w:val="a5"/>
      <w:jc w:val="right"/>
      <w:rPr>
        <w:sz w:val="20"/>
        <w:szCs w:val="20"/>
      </w:rPr>
    </w:pPr>
    <w:r w:rsidRPr="0024162A">
      <w:rPr>
        <w:rFonts w:hint="eastAsia"/>
        <w:sz w:val="20"/>
        <w:szCs w:val="20"/>
      </w:rPr>
      <w:t>立命館大学総合心理学部</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D3E1AD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13358D"/>
    <w:multiLevelType w:val="hybridMultilevel"/>
    <w:tmpl w:val="2C727F5A"/>
    <w:lvl w:ilvl="0" w:tplc="BCB8886A">
      <w:start w:val="1"/>
      <w:numFmt w:val="bullet"/>
      <w:lvlText w:val="・"/>
      <w:lvlJc w:val="left"/>
      <w:pPr>
        <w:ind w:left="480" w:hanging="48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20FF10EA"/>
    <w:multiLevelType w:val="hybridMultilevel"/>
    <w:tmpl w:val="5ABA14D4"/>
    <w:lvl w:ilvl="0" w:tplc="FA0E747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8BA2CC0"/>
    <w:multiLevelType w:val="hybridMultilevel"/>
    <w:tmpl w:val="74C672D6"/>
    <w:lvl w:ilvl="0" w:tplc="B582B0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FB21CDE"/>
    <w:multiLevelType w:val="hybridMultilevel"/>
    <w:tmpl w:val="3BDCD014"/>
    <w:lvl w:ilvl="0" w:tplc="BCB8886A">
      <w:start w:val="1"/>
      <w:numFmt w:val="bullet"/>
      <w:lvlText w:val="・"/>
      <w:lvlJc w:val="left"/>
      <w:pPr>
        <w:ind w:left="480" w:hanging="48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76B84BFC"/>
    <w:multiLevelType w:val="hybridMultilevel"/>
    <w:tmpl w:val="49D86890"/>
    <w:lvl w:ilvl="0" w:tplc="7D7C63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defaultTabStop w:val="840"/>
  <w:drawingGridHorizontalSpacing w:val="105"/>
  <w:drawingGridVerticalSpacing w:val="291"/>
  <w:displayHorizontalDrawingGridEvery w:val="0"/>
  <w:characterSpacingControl w:val="compressPunctuation"/>
  <w:hdrShapeDefaults>
    <o:shapedefaults v:ext="edit" spidmax="717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A7658"/>
    <w:rsid w:val="00065A31"/>
    <w:rsid w:val="000758D2"/>
    <w:rsid w:val="000948A1"/>
    <w:rsid w:val="000A4D26"/>
    <w:rsid w:val="000A5398"/>
    <w:rsid w:val="000D1815"/>
    <w:rsid w:val="000E558B"/>
    <w:rsid w:val="000F3754"/>
    <w:rsid w:val="00102731"/>
    <w:rsid w:val="00106780"/>
    <w:rsid w:val="001120C0"/>
    <w:rsid w:val="001157A1"/>
    <w:rsid w:val="001377ED"/>
    <w:rsid w:val="00171EF3"/>
    <w:rsid w:val="001737C0"/>
    <w:rsid w:val="00176662"/>
    <w:rsid w:val="001A67E8"/>
    <w:rsid w:val="001B3935"/>
    <w:rsid w:val="001B6DB8"/>
    <w:rsid w:val="001C7A9A"/>
    <w:rsid w:val="001F43EE"/>
    <w:rsid w:val="0021377A"/>
    <w:rsid w:val="002262F8"/>
    <w:rsid w:val="00227E5A"/>
    <w:rsid w:val="00232CFC"/>
    <w:rsid w:val="0024162A"/>
    <w:rsid w:val="00252CCB"/>
    <w:rsid w:val="00282D70"/>
    <w:rsid w:val="00287380"/>
    <w:rsid w:val="00294CBC"/>
    <w:rsid w:val="002A1917"/>
    <w:rsid w:val="002E32F1"/>
    <w:rsid w:val="002E73AD"/>
    <w:rsid w:val="00314E01"/>
    <w:rsid w:val="00326DFF"/>
    <w:rsid w:val="003328BE"/>
    <w:rsid w:val="00333007"/>
    <w:rsid w:val="0035567E"/>
    <w:rsid w:val="003911E8"/>
    <w:rsid w:val="003A1500"/>
    <w:rsid w:val="003A39C8"/>
    <w:rsid w:val="00404E98"/>
    <w:rsid w:val="004377EB"/>
    <w:rsid w:val="00493348"/>
    <w:rsid w:val="004C3CEA"/>
    <w:rsid w:val="004F23D7"/>
    <w:rsid w:val="004F5402"/>
    <w:rsid w:val="00545D36"/>
    <w:rsid w:val="00547515"/>
    <w:rsid w:val="005A5234"/>
    <w:rsid w:val="005B402D"/>
    <w:rsid w:val="005C4593"/>
    <w:rsid w:val="005D5D5E"/>
    <w:rsid w:val="005F49F1"/>
    <w:rsid w:val="006050A1"/>
    <w:rsid w:val="00610AB1"/>
    <w:rsid w:val="00690E3E"/>
    <w:rsid w:val="006A63C5"/>
    <w:rsid w:val="006C7F51"/>
    <w:rsid w:val="006E2F92"/>
    <w:rsid w:val="006E7184"/>
    <w:rsid w:val="006F5B53"/>
    <w:rsid w:val="0074169F"/>
    <w:rsid w:val="00751DB5"/>
    <w:rsid w:val="00782C6C"/>
    <w:rsid w:val="00787CE9"/>
    <w:rsid w:val="007962F2"/>
    <w:rsid w:val="007A6007"/>
    <w:rsid w:val="007B206A"/>
    <w:rsid w:val="007B6F2D"/>
    <w:rsid w:val="007D089A"/>
    <w:rsid w:val="007D6722"/>
    <w:rsid w:val="008152EF"/>
    <w:rsid w:val="0082709B"/>
    <w:rsid w:val="00837BDB"/>
    <w:rsid w:val="00847FD1"/>
    <w:rsid w:val="00864F33"/>
    <w:rsid w:val="0087440E"/>
    <w:rsid w:val="008B041A"/>
    <w:rsid w:val="008C73F9"/>
    <w:rsid w:val="009040FB"/>
    <w:rsid w:val="00916427"/>
    <w:rsid w:val="0092318C"/>
    <w:rsid w:val="00927463"/>
    <w:rsid w:val="009B5975"/>
    <w:rsid w:val="009C13B0"/>
    <w:rsid w:val="00A66B23"/>
    <w:rsid w:val="00A7109F"/>
    <w:rsid w:val="00AB099E"/>
    <w:rsid w:val="00AB1A05"/>
    <w:rsid w:val="00AE6ABC"/>
    <w:rsid w:val="00AF66A8"/>
    <w:rsid w:val="00B14133"/>
    <w:rsid w:val="00B218B4"/>
    <w:rsid w:val="00B3409D"/>
    <w:rsid w:val="00B44EAD"/>
    <w:rsid w:val="00B56FA7"/>
    <w:rsid w:val="00B62D7A"/>
    <w:rsid w:val="00B8119E"/>
    <w:rsid w:val="00B922FF"/>
    <w:rsid w:val="00B97D67"/>
    <w:rsid w:val="00BC35A1"/>
    <w:rsid w:val="00BE593A"/>
    <w:rsid w:val="00BF2D7D"/>
    <w:rsid w:val="00C1294C"/>
    <w:rsid w:val="00C52903"/>
    <w:rsid w:val="00C65D2C"/>
    <w:rsid w:val="00C94A1A"/>
    <w:rsid w:val="00CA7658"/>
    <w:rsid w:val="00CC19C6"/>
    <w:rsid w:val="00CD395A"/>
    <w:rsid w:val="00CE1617"/>
    <w:rsid w:val="00D12563"/>
    <w:rsid w:val="00D12F4B"/>
    <w:rsid w:val="00D15AA8"/>
    <w:rsid w:val="00D61AAF"/>
    <w:rsid w:val="00D70351"/>
    <w:rsid w:val="00D91CDB"/>
    <w:rsid w:val="00DE179A"/>
    <w:rsid w:val="00DF30B3"/>
    <w:rsid w:val="00E012E3"/>
    <w:rsid w:val="00E1206E"/>
    <w:rsid w:val="00E16E9C"/>
    <w:rsid w:val="00E25EDE"/>
    <w:rsid w:val="00E56AC9"/>
    <w:rsid w:val="00E7137D"/>
    <w:rsid w:val="00E836A5"/>
    <w:rsid w:val="00EA1D01"/>
    <w:rsid w:val="00F13296"/>
    <w:rsid w:val="00F145F3"/>
    <w:rsid w:val="00F36D39"/>
    <w:rsid w:val="00F42B51"/>
    <w:rsid w:val="00F60098"/>
    <w:rsid w:val="00F71D57"/>
    <w:rsid w:val="00F92A20"/>
    <w:rsid w:val="00FD4B3D"/>
    <w:rsid w:val="00FE7699"/>
    <w:rsid w:val="00FF0A8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5398"/>
    <w:pPr>
      <w:widowControl w:val="0"/>
      <w:jc w:val="both"/>
    </w:pPr>
  </w:style>
  <w:style w:type="paragraph" w:styleId="1">
    <w:name w:val="heading 1"/>
    <w:basedOn w:val="a"/>
    <w:next w:val="a"/>
    <w:link w:val="10"/>
    <w:uiPriority w:val="9"/>
    <w:qFormat/>
    <w:rsid w:val="00232CFC"/>
    <w:pPr>
      <w:keepNext/>
      <w:jc w:val="center"/>
      <w:outlineLvl w:val="0"/>
    </w:pPr>
    <w:rPr>
      <w:rFonts w:asciiTheme="majorHAnsi" w:eastAsiaTheme="majorEastAsia" w:hAnsiTheme="majorHAnsi" w:cstheme="majorBidi"/>
      <w:sz w:val="28"/>
      <w:szCs w:val="28"/>
    </w:rPr>
  </w:style>
  <w:style w:type="paragraph" w:styleId="2">
    <w:name w:val="heading 2"/>
    <w:basedOn w:val="a"/>
    <w:next w:val="a"/>
    <w:link w:val="20"/>
    <w:uiPriority w:val="9"/>
    <w:unhideWhenUsed/>
    <w:qFormat/>
    <w:rsid w:val="00C65D2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A7658"/>
  </w:style>
  <w:style w:type="character" w:customStyle="1" w:styleId="a4">
    <w:name w:val="日付 (文字)"/>
    <w:basedOn w:val="a0"/>
    <w:link w:val="a3"/>
    <w:uiPriority w:val="99"/>
    <w:semiHidden/>
    <w:rsid w:val="00CA7658"/>
  </w:style>
  <w:style w:type="paragraph" w:styleId="a5">
    <w:name w:val="header"/>
    <w:basedOn w:val="a"/>
    <w:link w:val="a6"/>
    <w:uiPriority w:val="99"/>
    <w:unhideWhenUsed/>
    <w:rsid w:val="0024162A"/>
    <w:pPr>
      <w:tabs>
        <w:tab w:val="center" w:pos="4252"/>
        <w:tab w:val="right" w:pos="8504"/>
      </w:tabs>
      <w:snapToGrid w:val="0"/>
    </w:pPr>
  </w:style>
  <w:style w:type="character" w:customStyle="1" w:styleId="a6">
    <w:name w:val="ヘッダー (文字)"/>
    <w:basedOn w:val="a0"/>
    <w:link w:val="a5"/>
    <w:uiPriority w:val="99"/>
    <w:rsid w:val="0024162A"/>
  </w:style>
  <w:style w:type="paragraph" w:styleId="a7">
    <w:name w:val="footer"/>
    <w:basedOn w:val="a"/>
    <w:link w:val="a8"/>
    <w:uiPriority w:val="99"/>
    <w:unhideWhenUsed/>
    <w:rsid w:val="0024162A"/>
    <w:pPr>
      <w:tabs>
        <w:tab w:val="center" w:pos="4252"/>
        <w:tab w:val="right" w:pos="8504"/>
      </w:tabs>
      <w:snapToGrid w:val="0"/>
    </w:pPr>
  </w:style>
  <w:style w:type="character" w:customStyle="1" w:styleId="a8">
    <w:name w:val="フッター (文字)"/>
    <w:basedOn w:val="a0"/>
    <w:link w:val="a7"/>
    <w:uiPriority w:val="99"/>
    <w:rsid w:val="0024162A"/>
  </w:style>
  <w:style w:type="table" w:styleId="a9">
    <w:name w:val="Table Grid"/>
    <w:basedOn w:val="a1"/>
    <w:uiPriority w:val="39"/>
    <w:rsid w:val="002416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説明文"/>
    <w:basedOn w:val="a"/>
    <w:qFormat/>
    <w:rsid w:val="005B402D"/>
    <w:pPr>
      <w:ind w:firstLineChars="100" w:firstLine="100"/>
    </w:pPr>
  </w:style>
  <w:style w:type="paragraph" w:styleId="ab">
    <w:name w:val="List Paragraph"/>
    <w:basedOn w:val="a"/>
    <w:uiPriority w:val="34"/>
    <w:qFormat/>
    <w:rsid w:val="00BC35A1"/>
    <w:pPr>
      <w:ind w:leftChars="400" w:left="840"/>
    </w:pPr>
  </w:style>
  <w:style w:type="character" w:customStyle="1" w:styleId="20">
    <w:name w:val="見出し 2 (文字)"/>
    <w:basedOn w:val="a0"/>
    <w:link w:val="2"/>
    <w:uiPriority w:val="9"/>
    <w:rsid w:val="00C65D2C"/>
    <w:rPr>
      <w:rFonts w:asciiTheme="majorHAnsi" w:eastAsiaTheme="majorEastAsia" w:hAnsiTheme="majorHAnsi" w:cstheme="majorBidi"/>
    </w:rPr>
  </w:style>
  <w:style w:type="paragraph" w:customStyle="1" w:styleId="ac">
    <w:name w:val="申請書：本文"/>
    <w:basedOn w:val="ad"/>
    <w:qFormat/>
    <w:rsid w:val="001377ED"/>
    <w:pPr>
      <w:ind w:firstLineChars="100" w:firstLine="100"/>
    </w:pPr>
    <w:rPr>
      <w:sz w:val="18"/>
    </w:rPr>
  </w:style>
  <w:style w:type="character" w:customStyle="1" w:styleId="10">
    <w:name w:val="見出し 1 (文字)"/>
    <w:basedOn w:val="a0"/>
    <w:link w:val="1"/>
    <w:uiPriority w:val="9"/>
    <w:rsid w:val="00232CFC"/>
    <w:rPr>
      <w:rFonts w:asciiTheme="majorHAnsi" w:eastAsiaTheme="majorEastAsia" w:hAnsiTheme="majorHAnsi" w:cstheme="majorBidi"/>
      <w:sz w:val="28"/>
      <w:szCs w:val="28"/>
    </w:rPr>
  </w:style>
  <w:style w:type="paragraph" w:styleId="ad">
    <w:name w:val="Body Text"/>
    <w:basedOn w:val="a"/>
    <w:link w:val="ae"/>
    <w:uiPriority w:val="99"/>
    <w:semiHidden/>
    <w:unhideWhenUsed/>
    <w:rsid w:val="001377ED"/>
  </w:style>
  <w:style w:type="character" w:customStyle="1" w:styleId="ae">
    <w:name w:val="本文 (文字)"/>
    <w:basedOn w:val="a0"/>
    <w:link w:val="ad"/>
    <w:uiPriority w:val="99"/>
    <w:semiHidden/>
    <w:rsid w:val="001377ED"/>
  </w:style>
  <w:style w:type="paragraph" w:styleId="af">
    <w:name w:val="Balloon Text"/>
    <w:basedOn w:val="a"/>
    <w:link w:val="af0"/>
    <w:uiPriority w:val="99"/>
    <w:semiHidden/>
    <w:unhideWhenUsed/>
    <w:rsid w:val="006E2F92"/>
    <w:rPr>
      <w:rFonts w:ascii="ＭＳ 明朝" w:eastAsia="ＭＳ 明朝"/>
      <w:sz w:val="18"/>
      <w:szCs w:val="18"/>
    </w:rPr>
  </w:style>
  <w:style w:type="character" w:customStyle="1" w:styleId="af0">
    <w:name w:val="吹き出し (文字)"/>
    <w:basedOn w:val="a0"/>
    <w:link w:val="af"/>
    <w:uiPriority w:val="99"/>
    <w:semiHidden/>
    <w:rsid w:val="006E2F92"/>
    <w:rPr>
      <w:rFonts w:ascii="ＭＳ 明朝" w:eastAsia="ＭＳ 明朝"/>
      <w:sz w:val="18"/>
      <w:szCs w:val="18"/>
    </w:rPr>
  </w:style>
  <w:style w:type="paragraph" w:styleId="af1">
    <w:name w:val="Document Map"/>
    <w:basedOn w:val="a"/>
    <w:link w:val="af2"/>
    <w:uiPriority w:val="99"/>
    <w:semiHidden/>
    <w:unhideWhenUsed/>
    <w:rsid w:val="006E2F92"/>
    <w:rPr>
      <w:rFonts w:ascii="ＭＳ 明朝" w:eastAsia="ＭＳ 明朝"/>
      <w:sz w:val="24"/>
      <w:szCs w:val="24"/>
    </w:rPr>
  </w:style>
  <w:style w:type="character" w:customStyle="1" w:styleId="af2">
    <w:name w:val="見出しマップ (文字)"/>
    <w:basedOn w:val="a0"/>
    <w:link w:val="af1"/>
    <w:uiPriority w:val="99"/>
    <w:semiHidden/>
    <w:rsid w:val="006E2F92"/>
    <w:rPr>
      <w:rFonts w:ascii="ＭＳ 明朝" w:eastAsia="ＭＳ 明朝"/>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per 1">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BED9905-9F9A-47A0-A5BC-29E2E399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395</Characters>
  <Application>Microsoft Office Word</Application>
  <DocSecurity>0</DocSecurity>
  <Lines>19</Lines>
  <Paragraphs>15</Paragraphs>
  <ScaleCrop>false</ScaleCrop>
  <HeadingPairs>
    <vt:vector size="2" baseType="variant">
      <vt:variant>
        <vt:lpstr>タイトル</vt:lpstr>
      </vt:variant>
      <vt:variant>
        <vt:i4>1</vt:i4>
      </vt:variant>
    </vt:vector>
  </HeadingPairs>
  <TitlesOfParts>
    <vt:vector size="1" baseType="lpstr">
      <vt:lpstr>「研究参加クレジット制度」対象研究申請書 ver. 1.0 (20160523)</vt:lpstr>
    </vt:vector>
  </TitlesOfParts>
  <Company/>
  <LinksUpToDate>false</LinksUpToDate>
  <CharactersWithSpaces>617</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「研究参加クレジット制度」対象研究申請書 ver. 1.0 (20160523)</dc:title>
  <dc:creator>Masasi Hattori</dc:creator>
  <cp:lastModifiedBy>北岡明佳</cp:lastModifiedBy>
  <cp:revision>2</cp:revision>
  <cp:lastPrinted>2017-04-01T08:54:00Z</cp:lastPrinted>
  <dcterms:created xsi:type="dcterms:W3CDTF">2017-08-07T00:58:00Z</dcterms:created>
  <dcterms:modified xsi:type="dcterms:W3CDTF">2017-08-07T00:58:00Z</dcterms:modified>
</cp:coreProperties>
</file>