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C34A9" w14:textId="77777777" w:rsidR="00142B04" w:rsidRPr="00142B04" w:rsidRDefault="00142B04">
      <w:pPr>
        <w:rPr>
          <w:szCs w:val="24"/>
        </w:rPr>
      </w:pPr>
    </w:p>
    <w:p w14:paraId="1ACA6394" w14:textId="2183F78A" w:rsidR="00142B04" w:rsidRDefault="00142B04">
      <w:r w:rsidRPr="00142B04">
        <w:rPr>
          <w:noProof/>
        </w:rPr>
        <w:drawing>
          <wp:inline distT="0" distB="0" distL="0" distR="0" wp14:anchorId="1EF2F4F0" wp14:editId="5B27B8BE">
            <wp:extent cx="6192520" cy="6192520"/>
            <wp:effectExtent l="0" t="0" r="0" b="0"/>
            <wp:docPr id="433483048" name="図 1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83048" name="図 1" descr="ダイアグラム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1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DDB5" w14:textId="77777777" w:rsidR="00142B04" w:rsidRDefault="00142B04" w:rsidP="00142B04">
      <w:pPr>
        <w:snapToGrid w:val="0"/>
        <w:rPr>
          <w:sz w:val="18"/>
          <w:szCs w:val="18"/>
        </w:rPr>
      </w:pPr>
    </w:p>
    <w:p w14:paraId="77F813BB" w14:textId="018DC28A" w:rsidR="00142B04" w:rsidRPr="00142B04" w:rsidRDefault="00142B04" w:rsidP="00142B04">
      <w:pPr>
        <w:snapToGrid w:val="0"/>
        <w:rPr>
          <w:rFonts w:hint="eastAsia"/>
          <w:sz w:val="18"/>
          <w:szCs w:val="18"/>
        </w:rPr>
      </w:pPr>
      <w:r w:rsidRPr="00142B04">
        <w:rPr>
          <w:rFonts w:hint="eastAsia"/>
          <w:sz w:val="18"/>
          <w:szCs w:val="18"/>
        </w:rPr>
        <w:t>古典的な幾何学的錯視の例。（</w:t>
      </w:r>
      <w:r w:rsidRPr="00142B04">
        <w:rPr>
          <w:sz w:val="18"/>
          <w:szCs w:val="18"/>
        </w:rPr>
        <w:t>a）ミュラー=リヤー錯視。上下の水平線分は同じ長さであるが、下の方が長く見える。（b）エビングハウス錯視。リングの中の円は左右同じ大きさであるが、大きい円のリングに囲まれた左の円よりも、小さい円のリングに囲まれた右の円の方が大きく見える。（c）ポンゾ錯視。Λや＜の頂点に近い方に置かれた対象が大きく見える。具体的には、2本の水平線分は同じ長さだが、上の方が長く見える。2つの円は同じ大きさだが、左の方が大きく見える。（d）ポッゲンドルフ錯視。2つの斜線は一直線上にあるが、右の斜線の方</w:t>
      </w:r>
      <w:r w:rsidRPr="00142B04">
        <w:rPr>
          <w:rFonts w:hint="eastAsia"/>
          <w:sz w:val="18"/>
          <w:szCs w:val="18"/>
        </w:rPr>
        <w:t>が上方に変位して見える。（</w:t>
      </w:r>
      <w:r w:rsidRPr="00142B04">
        <w:rPr>
          <w:sz w:val="18"/>
          <w:szCs w:val="18"/>
        </w:rPr>
        <w:t>e）ツェルナー錯視。垂直より反時計回りに45度傾いた黒い線は互いに平行だが、交互に傾いて見える。交差する短い線との交差角度の過大視の現象である。（f）へリング錯視（湾曲錯視）。水平線分が曲がって見える。上の線分は上に凸、下の線分は下に凸に見える。（g）ミュンスターベルク錯視。白と黒の正方形の列を図のようにずらして配置し、列の境界に線分を描くと、図ではそれらは水平であるが、交互に傾いて見える。本図のように線が灰色の時は、カフェウォール錯視（Café Wall illusion）と呼ば</w:t>
      </w:r>
      <w:r w:rsidRPr="00142B04">
        <w:rPr>
          <w:rFonts w:hint="eastAsia"/>
          <w:sz w:val="18"/>
          <w:szCs w:val="18"/>
        </w:rPr>
        <w:t>れることが多い。（</w:t>
      </w:r>
      <w:r w:rsidRPr="00142B04">
        <w:rPr>
          <w:sz w:val="18"/>
          <w:szCs w:val="18"/>
        </w:rPr>
        <w:t>h）フレーザー錯視。垂直より反時計回りに45度傾いた仮想線に沿って短い斜線の列が描かれているが、列の傾きは短い斜線の傾きの方向に変位して見える。ツェルナー錯視とは逆の錯視である。（</w:t>
      </w:r>
      <w:proofErr w:type="spellStart"/>
      <w:r w:rsidRPr="00142B04">
        <w:rPr>
          <w:sz w:val="18"/>
          <w:szCs w:val="18"/>
        </w:rPr>
        <w:t>i</w:t>
      </w:r>
      <w:proofErr w:type="spellEnd"/>
      <w:r w:rsidRPr="00142B04">
        <w:rPr>
          <w:sz w:val="18"/>
          <w:szCs w:val="18"/>
        </w:rPr>
        <w:t>）フレーザー錯視の渦巻き錯視。フレーザー錯視では、傾いて見えるのは線分であるが、傾いて見える対象を円状に配置した時に観察できる錯視である。具体的には、同心円が渦巻きのように見える。</w:t>
      </w:r>
    </w:p>
    <w:sectPr w:rsidR="00142B04" w:rsidRPr="00142B04" w:rsidSect="00142B04">
      <w:pgSz w:w="11906" w:h="16838" w:code="9"/>
      <w:pgMar w:top="567" w:right="1077" w:bottom="397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B04"/>
    <w:rsid w:val="00142B04"/>
    <w:rsid w:val="002D0516"/>
    <w:rsid w:val="00434375"/>
    <w:rsid w:val="009237BB"/>
    <w:rsid w:val="009F5260"/>
    <w:rsid w:val="00A91684"/>
    <w:rsid w:val="00C902D2"/>
    <w:rsid w:val="00E3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DDCC99"/>
  <w14:defaultImageDpi w14:val="32767"/>
  <w15:chartTrackingRefBased/>
  <w15:docId w15:val="{901982A6-07B4-4934-A8D3-1DDD3ECA9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メイリオ" w:eastAsia="メイリオ" w:hAnsi="メイリオ" w:cstheme="minorBidi"/>
        <w:snapToGrid w:val="0"/>
        <w:kern w:val="2"/>
        <w:sz w:val="24"/>
        <w:szCs w:val="3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42B0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2B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B0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2B0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2B0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2B0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2B0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2B0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2B0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42B0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42B0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42B04"/>
    <w:rPr>
      <w:rFonts w:asciiTheme="majorHAnsi" w:eastAsiaTheme="majorEastAsia" w:hAnsiTheme="majorHAnsi" w:cstheme="majorBidi"/>
      <w:color w:val="000000" w:themeColor="text1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42B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42B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42B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42B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42B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42B0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42B0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42B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2B0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42B0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42B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42B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42B0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42B0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42B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42B0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42B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北岡 明佳(akitaoka)</dc:creator>
  <cp:keywords/>
  <dc:description/>
  <cp:lastModifiedBy>北岡 明佳(akitaoka)</cp:lastModifiedBy>
  <cp:revision>1</cp:revision>
  <dcterms:created xsi:type="dcterms:W3CDTF">2025-03-07T01:15:00Z</dcterms:created>
  <dcterms:modified xsi:type="dcterms:W3CDTF">2025-03-07T01:21:00Z</dcterms:modified>
</cp:coreProperties>
</file>